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rPr>
          <w:rFonts w:hint="eastAsia" w:ascii="方正仿宋_GBK" w:hAnsi="方正仿宋_GBK" w:eastAsia="方正仿宋_GBK" w:cs="方正仿宋_GBK"/>
          <w:color w:val="000000"/>
          <w:spacing w:val="-4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snapToGrid w:val="0"/>
        <w:jc w:val="center"/>
        <w:rPr>
          <w:rFonts w:hint="eastAsia" w:ascii="Times New Roman" w:hAnsi="Times New Roman" w:eastAsia="方正小标宋_GBK" w:cs="Times New Roman"/>
          <w:spacing w:val="16"/>
          <w:kern w:val="0"/>
          <w:sz w:val="38"/>
          <w:szCs w:val="38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16"/>
          <w:kern w:val="0"/>
          <w:sz w:val="38"/>
          <w:szCs w:val="38"/>
        </w:rPr>
        <w:t>202</w:t>
      </w:r>
      <w:r>
        <w:rPr>
          <w:rFonts w:hint="eastAsia" w:ascii="Times New Roman" w:hAnsi="Times New Roman" w:eastAsia="方正小标宋_GBK" w:cs="Times New Roman"/>
          <w:spacing w:val="16"/>
          <w:kern w:val="0"/>
          <w:sz w:val="38"/>
          <w:szCs w:val="38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pacing w:val="16"/>
          <w:kern w:val="0"/>
          <w:sz w:val="38"/>
          <w:szCs w:val="38"/>
        </w:rPr>
        <w:t>年</w:t>
      </w:r>
      <w:r>
        <w:rPr>
          <w:rFonts w:hint="eastAsia" w:ascii="Times New Roman" w:hAnsi="Times New Roman" w:eastAsia="方正小标宋_GBK" w:cs="Times New Roman"/>
          <w:spacing w:val="16"/>
          <w:kern w:val="0"/>
          <w:sz w:val="38"/>
          <w:szCs w:val="38"/>
          <w:lang w:val="en-US" w:eastAsia="zh-CN"/>
        </w:rPr>
        <w:t>度酉阳县</w:t>
      </w:r>
      <w:r>
        <w:rPr>
          <w:rFonts w:hint="default" w:ascii="Times New Roman" w:hAnsi="Times New Roman" w:eastAsia="方正小标宋_GBK" w:cs="Times New Roman"/>
          <w:spacing w:val="16"/>
          <w:kern w:val="0"/>
          <w:sz w:val="38"/>
          <w:szCs w:val="38"/>
        </w:rPr>
        <w:t>危险废物规范化环境管理评估被抽查单位评估情况</w:t>
      </w:r>
      <w:r>
        <w:rPr>
          <w:rFonts w:hint="eastAsia" w:ascii="Times New Roman" w:hAnsi="Times New Roman" w:eastAsia="方正小标宋_GBK" w:cs="Times New Roman"/>
          <w:spacing w:val="16"/>
          <w:kern w:val="0"/>
          <w:sz w:val="38"/>
          <w:szCs w:val="38"/>
          <w:lang w:val="en-US" w:eastAsia="zh-CN"/>
        </w:rPr>
        <w:t>公示</w:t>
      </w:r>
    </w:p>
    <w:p>
      <w:pPr>
        <w:adjustRightInd w:val="0"/>
        <w:snapToGrid w:val="0"/>
        <w:spacing w:line="408" w:lineRule="auto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7"/>
        <w:tblW w:w="1380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670"/>
        <w:gridCol w:w="1764"/>
        <w:gridCol w:w="1459"/>
        <w:gridCol w:w="2192"/>
        <w:gridCol w:w="2904"/>
        <w:gridCol w:w="1516"/>
        <w:gridCol w:w="13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评估时间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单位类型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单位基本情况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评估发现的问题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备注（评估得分）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评估人员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重庆清物源环保科技有限公司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widowControl/>
              <w:tabs>
                <w:tab w:val="left" w:pos="432"/>
              </w:tabs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2024.9.23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240" w:firstLineChars="10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经营单位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危险废物收贮转运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1.台账记录不规范；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未依法公开当年危废污染防治信息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张耀 吴洪明 袁朝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酉阳县宝华进口汽车服务有限公司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2024.9.25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产生HW12、HW08、HW49、HW29、HW06、HW31、HW36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危废暂存间标示标牌有误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；2.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应急预案未备案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张耀 吴洪明 袁朝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重庆格林瑞奇汽车销售有限公司汽修厂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2024.9.25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产生HW12、HW08、HW49、HW29、HW06、HW31、HW36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应急预案未备案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张耀 吴洪明 袁朝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酉阳县一飞包装有限公司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2024.9.25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产生HW12、HW08、HW49、HW29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1.信息未公开；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2.标志标牌不完善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46.5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张耀 吴洪明 袁朝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昌弘汽修厂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2024.9.25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产生HW08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污染防治信息未公开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张耀 吴洪明 袁朝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酉阳县科维汽车销售服务有限公司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2024.9.25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产生HW12、HW08、HW49、HW29、HW31、HW36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污染防治信息未公开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张耀 吴洪明 袁朝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酉阳县精神病医院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2024.9.25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医疗废物产废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产生HW01、HW49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1.废药品暂存间未设置标志标牌；2.台账不规范。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张耀 吴洪明 袁朝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重庆九鑫水泥（集团）有限公司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2024.9.25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其他产废单位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产生HW08、HW49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1.危废暂存间标志标牌不完善；2.台账记录不规范；3.不同废物间无明显间隔；4.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应急预案未备案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21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张耀 吴洪明 袁朝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重庆盛宝环保咨询有限公司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2024.9.25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经营单位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危险废物收贮转运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1.无演练的图片、文字、总结材料；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2.未开展本单位工作人员培训；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张耀 吴洪明 袁朝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Cs/>
                <w:sz w:val="24"/>
                <w:lang w:val="en-US" w:eastAsia="zh-CN"/>
              </w:rPr>
              <w:t>酉阳县华茂新能源有限责任公司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2024.11.1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医疗废物处置单位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产生HW08、HW49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1.台账不规范；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2.污水处理设施未正常原先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3.危废标志错误；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张耀 吴洪明 袁朝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酉阳县人民医院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医疗废物产废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产生HW01、HW49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1.台账不完善。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  <w:bookmarkStart w:id="0" w:name="_GoBack"/>
            <w:bookmarkEnd w:id="0"/>
          </w:p>
        </w:tc>
        <w:tc>
          <w:tcPr>
            <w:tcW w:w="13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张耀 吴洪明 袁朝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Cs/>
                <w:sz w:val="24"/>
                <w:lang w:val="en-US" w:eastAsia="zh-CN"/>
              </w:rPr>
              <w:t>酉阳县亿通汽车服务有限公司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其他产废单位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产生HW12、HW08、HW49、HW29、HW06、HW31、HW36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1.台账不完善。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；2.未依法公开危废污染环境防治信息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张耀 吴洪明 袁朝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firstLine="7840" w:firstLineChars="2800"/>
      <w:jc w:val="right"/>
      <w:rPr>
        <w:rFonts w:hint="eastAsia" w:ascii="宋体" w:hAnsi="宋体" w:eastAsia="宋体"/>
        <w:sz w:val="28"/>
        <w:lang w:val="en-US" w:eastAsia="zh-CN"/>
      </w:rPr>
    </w:pPr>
    <w:r>
      <w:rPr>
        <w:rFonts w:hint="eastAsia" w:ascii="宋体" w:hAnsi="宋体" w:eastAsia="宋体"/>
        <w:sz w:val="28"/>
      </w:rPr>
      <w:t>—</w:t>
    </w:r>
    <w:r>
      <w:rPr>
        <w:rFonts w:hint="eastAsia" w:ascii="宋体" w:hAnsi="宋体" w:eastAsia="宋体"/>
        <w:sz w:val="28"/>
        <w:lang w:val="en-US" w:eastAsia="zh-CN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Style w:val="9"/>
        <w:rFonts w:ascii="宋体" w:hAnsi="宋体" w:eastAsia="宋体"/>
        <w:sz w:val="28"/>
      </w:rPr>
      <w:instrText xml:space="preserve"> PAGE </w:instrText>
    </w:r>
    <w:r>
      <w:rPr>
        <w:rFonts w:ascii="宋体" w:hAnsi="宋体" w:eastAsia="宋体"/>
        <w:sz w:val="28"/>
      </w:rPr>
      <w:fldChar w:fldCharType="separate"/>
    </w:r>
    <w:r>
      <w:rPr>
        <w:rStyle w:val="9"/>
        <w:rFonts w:ascii="宋体" w:hAnsi="宋体" w:eastAsia="宋体"/>
        <w:sz w:val="28"/>
      </w:rPr>
      <w:t>1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  <w:lang w:val="en-US" w:eastAsia="zh-CN"/>
      </w:rPr>
      <w:t xml:space="preserve"> </w:t>
    </w:r>
    <w:r>
      <w:rPr>
        <w:rFonts w:hint="eastAsia" w:ascii="宋体" w:hAnsi="宋体" w:eastAsia="宋体"/>
        <w:sz w:val="28"/>
      </w:rPr>
      <w:t>—</w:t>
    </w:r>
    <w:r>
      <w:rPr>
        <w:rFonts w:hint="eastAsia" w:ascii="宋体" w:hAnsi="宋体" w:eastAsia="宋体"/>
        <w:sz w:val="28"/>
        <w:lang w:val="en-US"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M2QzOTZkMGRlMGJjYTE5NDI5M2ZhMDY0ZjNhNzIifQ=="/>
  </w:docVars>
  <w:rsids>
    <w:rsidRoot w:val="61A2198E"/>
    <w:rsid w:val="342B7712"/>
    <w:rsid w:val="34C2726E"/>
    <w:rsid w:val="61A2198E"/>
    <w:rsid w:val="FB4FF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heading 4"/>
    <w:basedOn w:val="4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 w:val="0"/>
      <w:bCs w:val="0"/>
      <w:sz w:val="28"/>
      <w:szCs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48"/>
    </w:rPr>
  </w:style>
  <w:style w:type="paragraph" w:customStyle="1" w:styleId="3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2024-03-08T16:16:00Z</dcterms:created>
  <dc:creator>少年包工头</dc:creator>
  <cp:lastModifiedBy>龙小燕</cp:lastModifiedBy>
  <dcterms:modified xsi:type="dcterms:W3CDTF">2024-12-30T03:39:03Z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5CE8BC6CC22B4BA7B98D5C8880A4905A_11</vt:lpwstr>
  </property>
</Properties>
</file>