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小标宋简体"/>
          <w:b/>
          <w:kern w:val="0"/>
          <w:sz w:val="44"/>
          <w:szCs w:val="44"/>
        </w:rPr>
      </w:pPr>
    </w:p>
    <w:p>
      <w:pPr>
        <w:spacing w:line="600" w:lineRule="exact"/>
        <w:rPr>
          <w:rFonts w:eastAsia="方正小标宋简体"/>
          <w:b/>
          <w:kern w:val="0"/>
          <w:sz w:val="44"/>
          <w:szCs w:val="44"/>
        </w:rPr>
      </w:pPr>
    </w:p>
    <w:p>
      <w:pPr>
        <w:pStyle w:val="19"/>
        <w:rPr>
          <w:b w:val="0"/>
        </w:rPr>
      </w:pPr>
      <w:r>
        <w:rPr>
          <w:b w:val="0"/>
        </w:rPr>
        <w:t>酉阳土家族苗族自治县财政局</w:t>
      </w:r>
    </w:p>
    <w:p>
      <w:pPr>
        <w:pStyle w:val="19"/>
        <w:rPr>
          <w:b w:val="0"/>
        </w:rPr>
      </w:pPr>
      <w:r>
        <w:rPr>
          <w:b w:val="0"/>
        </w:rPr>
        <w:t>关于2023年度法治政府建设情况的报告</w:t>
      </w:r>
    </w:p>
    <w:p>
      <w:pPr>
        <w:spacing w:line="560" w:lineRule="exact"/>
        <w:ind w:firstLine="640" w:firstLineChars="200"/>
        <w:jc w:val="left"/>
        <w:rPr>
          <w:rStyle w:val="18"/>
        </w:rPr>
      </w:pPr>
    </w:p>
    <w:p>
      <w:pPr>
        <w:spacing w:line="560" w:lineRule="exact"/>
        <w:ind w:firstLine="640" w:firstLineChars="200"/>
        <w:jc w:val="left"/>
        <w:rPr>
          <w:rStyle w:val="18"/>
        </w:rPr>
      </w:pPr>
      <w:r>
        <w:rPr>
          <w:rStyle w:val="18"/>
        </w:rPr>
        <w:t>2023年，在县委、县政府的正确领导下，以习近平新时代中国特色社会主义思想为指导，全面贯彻党的二十大精神，紧紧围绕我局中心工作，财政主要负责人</w:t>
      </w:r>
      <w:r>
        <w:rPr>
          <w:rStyle w:val="18"/>
          <w:rFonts w:hint="eastAsia"/>
        </w:rPr>
        <w:t>切实</w:t>
      </w:r>
      <w:r>
        <w:rPr>
          <w:rStyle w:val="18"/>
        </w:rPr>
        <w:t>履行推进法治建设第一责任人职责，以建立健全制度为基础，以创建法治政府、提升依法行政水平为目标，强化组织领导，狠抓工作落实，有序推进“八五”普法，积极创新普法工作载体和形式，提升执法水平，规范行政行为，不断推进我局法治政府建设工作。</w:t>
      </w:r>
    </w:p>
    <w:p>
      <w:pPr>
        <w:spacing w:line="560" w:lineRule="exact"/>
        <w:ind w:firstLine="640" w:firstLineChars="200"/>
        <w:jc w:val="left"/>
        <w:rPr>
          <w:rFonts w:eastAsia="方正黑体_GBK"/>
          <w:bCs/>
          <w:sz w:val="32"/>
          <w:szCs w:val="32"/>
        </w:rPr>
      </w:pPr>
      <w:r>
        <w:rPr>
          <w:rFonts w:eastAsia="方正黑体_GBK"/>
          <w:bCs/>
          <w:sz w:val="32"/>
          <w:szCs w:val="32"/>
        </w:rPr>
        <w:t>一、2023年推进法治政府建设的主要举措和成效</w:t>
      </w:r>
    </w:p>
    <w:p>
      <w:pPr>
        <w:snapToGrid w:val="0"/>
        <w:spacing w:line="560" w:lineRule="exact"/>
        <w:ind w:firstLine="643" w:firstLineChars="200"/>
        <w:rPr>
          <w:rFonts w:eastAsia="方正仿宋_GBK"/>
          <w:sz w:val="32"/>
          <w:szCs w:val="32"/>
        </w:rPr>
      </w:pPr>
      <w:r>
        <w:rPr>
          <w:rFonts w:eastAsia="方正楷体_GBK"/>
          <w:b/>
          <w:bCs/>
          <w:sz w:val="32"/>
          <w:szCs w:val="32"/>
        </w:rPr>
        <w:t>（一）</w:t>
      </w:r>
      <w:r>
        <w:rPr>
          <w:rFonts w:hint="eastAsia" w:eastAsia="方正楷体_GBK"/>
          <w:b/>
          <w:bCs/>
          <w:sz w:val="32"/>
          <w:szCs w:val="32"/>
        </w:rPr>
        <w:t>持续</w:t>
      </w:r>
      <w:r>
        <w:rPr>
          <w:rFonts w:eastAsia="方正楷体_GBK"/>
          <w:b/>
          <w:bCs/>
          <w:sz w:val="32"/>
          <w:szCs w:val="32"/>
        </w:rPr>
        <w:t>深化财会领域“放管服”改革。</w:t>
      </w:r>
      <w:r>
        <w:rPr>
          <w:rStyle w:val="18"/>
        </w:rPr>
        <w:t>一是坚持随叫随到、服务周到。审慎包容落实会计机构管理，有序开展全国代理记账机构审批和年度报备工作，完成26个代理记账公司年度备案审核，新增4个，变更登记1个，对18家全国代理记账机构管理系统机构异常数据进行清理。二是推动数据跑路、群众减负。按要求全面梳理财政局涉及行政审批事项，将代理记账行政审批事项录入重庆市网审平台，实现“渝快办”“零跑步”，</w:t>
      </w:r>
      <w:r>
        <w:rPr>
          <w:rFonts w:eastAsia="方正仿宋_GBK"/>
          <w:sz w:val="32"/>
          <w:szCs w:val="32"/>
        </w:rPr>
        <w:t>让办事人少费时间、少跑路，</w:t>
      </w:r>
      <w:r>
        <w:rPr>
          <w:rFonts w:eastAsia="方正仿宋_GBK"/>
          <w:kern w:val="0"/>
          <w:sz w:val="32"/>
          <w:szCs w:val="32"/>
        </w:rPr>
        <w:t>减少办件时间，进一步优化和规范管理</w:t>
      </w:r>
      <w:r>
        <w:rPr>
          <w:rFonts w:hint="eastAsia" w:eastAsia="方正仿宋_GBK"/>
          <w:kern w:val="0"/>
          <w:sz w:val="32"/>
          <w:szCs w:val="32"/>
        </w:rPr>
        <w:t>行政审批事项</w:t>
      </w:r>
      <w:r>
        <w:rPr>
          <w:rFonts w:eastAsia="方正仿宋_GBK"/>
          <w:kern w:val="0"/>
          <w:sz w:val="32"/>
          <w:szCs w:val="32"/>
        </w:rPr>
        <w:t>，提高行政效能。</w:t>
      </w:r>
    </w:p>
    <w:p>
      <w:pPr>
        <w:pStyle w:val="16"/>
        <w:spacing w:line="560" w:lineRule="exact"/>
        <w:ind w:firstLine="643"/>
        <w:rPr>
          <w:rStyle w:val="22"/>
        </w:rPr>
      </w:pPr>
      <w:r>
        <w:rPr>
          <w:rFonts w:eastAsia="方正楷体_GBK"/>
          <w:b/>
          <w:bCs/>
        </w:rPr>
        <w:t>（二）优化营商环境</w:t>
      </w:r>
      <w:r>
        <w:rPr>
          <w:rFonts w:hint="eastAsia" w:eastAsia="方正楷体_GBK"/>
          <w:b/>
          <w:bCs/>
        </w:rPr>
        <w:t>，激发市场活力</w:t>
      </w:r>
      <w:r>
        <w:rPr>
          <w:rFonts w:eastAsia="方正楷体_GBK"/>
          <w:b/>
          <w:bCs/>
        </w:rPr>
        <w:t>。</w:t>
      </w:r>
      <w:r>
        <w:t>坚决贯彻落实减税降费等各类优惠政策，对重点企业开展上门辅导，帮助企业依法享受政策红利。2023年，落实新增减税降费</w:t>
      </w:r>
      <w:r>
        <w:rPr>
          <w:rFonts w:hint="eastAsia"/>
        </w:rPr>
        <w:t>2.2</w:t>
      </w:r>
      <w:r>
        <w:t>亿元，惠及市场主体2</w:t>
      </w:r>
      <w:r>
        <w:rPr>
          <w:rFonts w:hint="eastAsia"/>
        </w:rPr>
        <w:t>.4</w:t>
      </w:r>
      <w:r>
        <w:t>万户次。</w:t>
      </w:r>
    </w:p>
    <w:p>
      <w:pPr>
        <w:pStyle w:val="21"/>
        <w:spacing w:line="560" w:lineRule="exact"/>
        <w:ind w:firstLine="643"/>
        <w:rPr>
          <w:rFonts w:eastAsia="方正仿宋_GBK"/>
        </w:rPr>
      </w:pPr>
      <w:r>
        <w:rPr>
          <w:b/>
          <w:bCs/>
        </w:rPr>
        <w:t>（三）</w:t>
      </w:r>
      <w:r>
        <w:rPr>
          <w:rFonts w:hint="eastAsia"/>
          <w:b/>
          <w:bCs/>
        </w:rPr>
        <w:t>落实政策法规，用心做好服务。</w:t>
      </w:r>
      <w:r>
        <w:rPr>
          <w:rFonts w:eastAsia="方正仿宋_GBK"/>
        </w:rPr>
        <w:t>一是按照市政府办公厅《关于开展“互联网+监管”系统事项梳理填报工作的通知》和有关工作要求，加强行政事业性收费和政府性基金清单“制度化+信息化”建设，对标对表行政权力事项，对清单外收费事项一律取消。同时，对中介机构从事会计代理记账业务申请审批工作编制完成行政权力事项清单及服务指南，修改完善了县财政局行政权力清单和责任清单。二是推进“证照分离”，实行“告知承诺制”。推进“互联网+政务服务”，进一步简化程序、压缩时间、提高效率。以“互联网+政务服务”“渝快办”“零跑步”为平台，优化政务服务环境。坚持把简政放权、放管结合、职能转变落实到优质服务上，不断提高群众的满意度。将代理记账行政许可“一次性告知、限时办结服务制度”转变为实行“告知承诺制”，在办理代理记账许可事项时，实行了容缺办理，限期补交。</w:t>
      </w:r>
      <w:r>
        <w:rPr>
          <w:rFonts w:hint="eastAsia" w:eastAsia="方正仿宋_GBK"/>
        </w:rPr>
        <w:t>三是大力推进政务公开。</w:t>
      </w:r>
      <w:r>
        <w:rPr>
          <w:rFonts w:eastAsia="方正仿宋_GBK"/>
        </w:rPr>
        <w:t>加大财政预决算公开、</w:t>
      </w:r>
      <w:r>
        <w:rPr>
          <w:rFonts w:hint="eastAsia" w:eastAsia="方正仿宋_GBK"/>
        </w:rPr>
        <w:t>预算执行公开、</w:t>
      </w:r>
      <w:r>
        <w:rPr>
          <w:rFonts w:eastAsia="方正仿宋_GBK"/>
        </w:rPr>
        <w:t>政府采购公开等信息公开力度，</w:t>
      </w:r>
      <w:r>
        <w:rPr>
          <w:rFonts w:hint="eastAsia" w:eastAsia="方正仿宋_GBK"/>
        </w:rPr>
        <w:t>健全信息发布机制，提高工作透明度</w:t>
      </w:r>
      <w:r>
        <w:rPr>
          <w:rFonts w:eastAsia="方正仿宋_GBK"/>
        </w:rPr>
        <w:t>，依法保障社会公众对财政工作的知情权和依法履职的监督权。</w:t>
      </w:r>
    </w:p>
    <w:p>
      <w:pPr>
        <w:spacing w:line="560" w:lineRule="exact"/>
        <w:ind w:firstLine="643" w:firstLineChars="200"/>
        <w:rPr>
          <w:rStyle w:val="18"/>
        </w:rPr>
      </w:pPr>
      <w:r>
        <w:rPr>
          <w:rStyle w:val="22"/>
          <w:b/>
        </w:rPr>
        <w:t>（四）认真做好普法工作和内控制度建设。</w:t>
      </w:r>
      <w:r>
        <w:rPr>
          <w:rStyle w:val="18"/>
        </w:rPr>
        <w:t>一是加强宪法宣传。采取多种形式，宣传贯彻《</w:t>
      </w:r>
      <w:r>
        <w:rPr>
          <w:rStyle w:val="18"/>
          <w:rFonts w:hint="eastAsia" w:eastAsia="方正仿宋_GBK"/>
          <w:lang w:eastAsia="zh-CN"/>
        </w:rPr>
        <w:t>中华人民共和国</w:t>
      </w:r>
      <w:r>
        <w:rPr>
          <w:rStyle w:val="18"/>
        </w:rPr>
        <w:t>宪法》《</w:t>
      </w:r>
      <w:r>
        <w:rPr>
          <w:rStyle w:val="18"/>
          <w:rFonts w:hint="eastAsia" w:eastAsia="方正仿宋_GBK"/>
          <w:lang w:eastAsia="zh-CN"/>
        </w:rPr>
        <w:t>中华人民共和国</w:t>
      </w:r>
      <w:r>
        <w:rPr>
          <w:rStyle w:val="18"/>
        </w:rPr>
        <w:t>预算法》《会计法》等法律法规，印制宣传资料，会同县司法局在酉阳县红军广场，开展2023年“宪法宣传周”集中宣传活动，积极解答群众疑问，确保实地宣传实效。组织财政局全体干部职工参与宪法知识网上竞答，并组织职工收看《宪法的精神法治的力量—2023年度法治人物》等法制宣传节目。二是加强内控制度建设。印发《酉阳土家族苗族自治县财政局关于开展2022年度行政事业单位内部控制报告编报工作的通知》（酉阳财政函〔2023〕246号），严格按照内控管理要求，组织全县行政事业单位开展内部控制报告编报工作，编报覆盖率达到100%。</w:t>
      </w:r>
    </w:p>
    <w:p>
      <w:pPr>
        <w:spacing w:line="560" w:lineRule="exact"/>
        <w:ind w:firstLine="640" w:firstLineChars="200"/>
        <w:jc w:val="left"/>
        <w:rPr>
          <w:rFonts w:eastAsia="方正黑体_GBK"/>
          <w:bCs/>
          <w:sz w:val="32"/>
          <w:szCs w:val="32"/>
        </w:rPr>
      </w:pPr>
      <w:r>
        <w:rPr>
          <w:rFonts w:eastAsia="方正黑体_GBK"/>
          <w:bCs/>
          <w:sz w:val="32"/>
          <w:szCs w:val="32"/>
        </w:rPr>
        <w:t>二、党政主要负责人推进法治政府建设情况</w:t>
      </w:r>
    </w:p>
    <w:p>
      <w:pPr>
        <w:adjustRightInd w:val="0"/>
        <w:snapToGrid w:val="0"/>
        <w:spacing w:afterLines="50" w:line="560" w:lineRule="exact"/>
        <w:ind w:firstLine="640" w:firstLineChars="200"/>
        <w:rPr>
          <w:rFonts w:eastAsia="方正仿宋_GBK"/>
          <w:color w:val="171A1D"/>
          <w:sz w:val="32"/>
          <w:szCs w:val="32"/>
          <w:shd w:val="clear" w:color="auto" w:fill="FFFFFF"/>
        </w:rPr>
      </w:pPr>
      <w:r>
        <w:rPr>
          <w:rFonts w:eastAsia="方正仿宋_GBK"/>
          <w:color w:val="171A1D"/>
          <w:sz w:val="32"/>
          <w:szCs w:val="32"/>
          <w:shd w:val="clear" w:color="auto" w:fill="FFFFFF"/>
        </w:rPr>
        <w:t>局党委坚持以习近平法治思想作为财政工作的行动指南，加强党对法治工作的领导，深刻领会新时代推进法治中国建设战略部署，将法治建设纳入局年度工作计划，与财政工作同部署、同推进。局主要负责人带头尊法学法守法用法，切实扛牢党政主要负责人推进</w:t>
      </w:r>
      <w:r>
        <w:rPr>
          <w:rFonts w:hint="eastAsia" w:eastAsia="方正仿宋_GBK"/>
          <w:color w:val="171A1D"/>
          <w:sz w:val="32"/>
          <w:szCs w:val="32"/>
          <w:shd w:val="clear" w:color="auto" w:fill="FFFFFF"/>
          <w:lang w:eastAsia="zh-CN"/>
        </w:rPr>
        <w:t>法治</w:t>
      </w:r>
      <w:r>
        <w:rPr>
          <w:rFonts w:eastAsia="方正仿宋_GBK"/>
          <w:color w:val="171A1D"/>
          <w:sz w:val="32"/>
          <w:szCs w:val="32"/>
          <w:shd w:val="clear" w:color="auto" w:fill="FFFFFF"/>
        </w:rPr>
        <w:t>政府建设第一责任，加强组织领导，将法制学习列入党委理论</w:t>
      </w:r>
      <w:r>
        <w:rPr>
          <w:rFonts w:hint="eastAsia" w:eastAsia="方正仿宋_GBK"/>
          <w:color w:val="171A1D"/>
          <w:sz w:val="32"/>
          <w:szCs w:val="32"/>
          <w:shd w:val="clear" w:color="auto" w:fill="FFFFFF"/>
          <w:lang w:eastAsia="zh-CN"/>
        </w:rPr>
        <w:t>学习</w:t>
      </w:r>
      <w:bookmarkStart w:id="0" w:name="_GoBack"/>
      <w:bookmarkEnd w:id="0"/>
      <w:r>
        <w:rPr>
          <w:rFonts w:eastAsia="方正仿宋_GBK"/>
          <w:color w:val="171A1D"/>
          <w:sz w:val="32"/>
          <w:szCs w:val="32"/>
          <w:shd w:val="clear" w:color="auto" w:fill="FFFFFF"/>
        </w:rPr>
        <w:t>中心组、党总支学习计划，及时研究解决法制建设中存在的困难和问题。督促领导班子其他成员全面加强依法行政，强化分管工作的内控管理和风险排查，有效推动了我局法治建设各项工作开展。严格落实“三重一大”决策程序，聘请专业法律顾问在重要决策法律论证、合同协议起草审查、复议诉讼案件处理、财政日常工作等方面进行法律把关，把法制工作贯穿重大决策全过程，全力构建事前防范法律风险、事中严格依法行政、事后落实法律责任的闭环管理体系。</w:t>
      </w:r>
      <w:r>
        <w:rPr>
          <w:rFonts w:hint="eastAsia" w:eastAsia="方正仿宋_GBK"/>
          <w:color w:val="171A1D"/>
          <w:sz w:val="32"/>
          <w:szCs w:val="32"/>
          <w:shd w:val="clear" w:color="auto" w:fill="FFFFFF"/>
        </w:rPr>
        <w:t>充分发动和积极引导全体财政干部职工自觉依法办事、依法行政，坚持有法可依、有法必依、违法必究，把民主和法治有机地结合起来。</w:t>
      </w:r>
    </w:p>
    <w:p>
      <w:pPr>
        <w:spacing w:line="560" w:lineRule="exact"/>
        <w:ind w:firstLine="640" w:firstLineChars="200"/>
        <w:jc w:val="left"/>
        <w:rPr>
          <w:rFonts w:eastAsia="方正黑体_GBK"/>
          <w:bCs/>
          <w:sz w:val="32"/>
          <w:szCs w:val="32"/>
        </w:rPr>
      </w:pPr>
      <w:r>
        <w:rPr>
          <w:rFonts w:eastAsia="方正黑体_GBK"/>
          <w:bCs/>
          <w:sz w:val="32"/>
          <w:szCs w:val="32"/>
        </w:rPr>
        <w:t>三、2023年推进法治政府建设存在的不足和原因</w:t>
      </w:r>
    </w:p>
    <w:p>
      <w:pPr>
        <w:spacing w:line="560" w:lineRule="exact"/>
        <w:ind w:firstLine="643" w:firstLineChars="200"/>
        <w:rPr>
          <w:rFonts w:eastAsia="方正仿宋_GBK"/>
          <w:sz w:val="32"/>
          <w:szCs w:val="32"/>
        </w:rPr>
      </w:pPr>
      <w:r>
        <w:rPr>
          <w:rStyle w:val="22"/>
          <w:b/>
        </w:rPr>
        <w:t>（一）法治建设宣传形式单一。</w:t>
      </w:r>
      <w:r>
        <w:rPr>
          <w:rFonts w:eastAsia="方正仿宋_GBK"/>
          <w:sz w:val="32"/>
          <w:szCs w:val="32"/>
        </w:rPr>
        <w:t>在学习中较多地传达学习文件精神、规章制度等，对内容理解不够深入，运用理论指导实践、推动工作效果不够明显。部分干部职工对法治建设工作认识还需进一步加强，参与积极性有待于进一步提高，运用法治思维和法治方式解决问题的能力有待进一步提升。</w:t>
      </w:r>
    </w:p>
    <w:p>
      <w:pPr>
        <w:adjustRightInd w:val="0"/>
        <w:snapToGrid w:val="0"/>
        <w:spacing w:afterLines="50" w:line="560" w:lineRule="exact"/>
        <w:ind w:firstLine="643" w:firstLineChars="200"/>
        <w:rPr>
          <w:rFonts w:eastAsia="仿宋_GB2312"/>
          <w:snapToGrid w:val="0"/>
          <w:color w:val="000000"/>
          <w:sz w:val="32"/>
        </w:rPr>
      </w:pPr>
      <w:r>
        <w:rPr>
          <w:rStyle w:val="22"/>
          <w:b/>
        </w:rPr>
        <w:t>（二）财政执法能力有待加强</w:t>
      </w:r>
      <w:r>
        <w:rPr>
          <w:rFonts w:eastAsia="方正楷体_GBK"/>
          <w:b/>
        </w:rPr>
        <w:t>。</w:t>
      </w:r>
      <w:r>
        <w:rPr>
          <w:rFonts w:eastAsia="方正仿宋_GBK"/>
          <w:sz w:val="32"/>
          <w:szCs w:val="32"/>
        </w:rPr>
        <w:t>经过近年来法制建设的推进，财政执法的</w:t>
      </w:r>
      <w:r>
        <w:rPr>
          <w:rFonts w:hint="eastAsia" w:eastAsia="方正仿宋_GBK"/>
          <w:sz w:val="32"/>
          <w:szCs w:val="32"/>
          <w:lang w:eastAsia="zh-CN"/>
        </w:rPr>
        <w:t>法治</w:t>
      </w:r>
      <w:r>
        <w:rPr>
          <w:rFonts w:eastAsia="方正仿宋_GBK"/>
          <w:sz w:val="32"/>
          <w:szCs w:val="32"/>
        </w:rPr>
        <w:t>意识和执法能力都得到了大幅提高。但面对新形势对财政工作提出的新要求仍存在一定的差距，主要体现在专业人才队伍建设、专业知识结构</w:t>
      </w:r>
      <w:r>
        <w:rPr>
          <w:rFonts w:hint="eastAsia" w:eastAsia="方正仿宋_GBK"/>
          <w:sz w:val="32"/>
          <w:szCs w:val="32"/>
        </w:rPr>
        <w:t>以及综合运用能力</w:t>
      </w:r>
      <w:r>
        <w:rPr>
          <w:rFonts w:eastAsia="方正仿宋_GBK"/>
          <w:sz w:val="32"/>
          <w:szCs w:val="32"/>
        </w:rPr>
        <w:t>方面的短板，经验欠缺，发现问题能力不足，履职风险较高。</w:t>
      </w:r>
    </w:p>
    <w:p>
      <w:pPr>
        <w:spacing w:line="560" w:lineRule="exact"/>
        <w:ind w:firstLine="640" w:firstLineChars="200"/>
        <w:jc w:val="left"/>
        <w:rPr>
          <w:rFonts w:eastAsia="方正黑体_GBK"/>
          <w:bCs/>
          <w:sz w:val="32"/>
          <w:szCs w:val="32"/>
        </w:rPr>
      </w:pPr>
      <w:r>
        <w:rPr>
          <w:rFonts w:eastAsia="方正黑体_GBK"/>
          <w:bCs/>
          <w:sz w:val="32"/>
          <w:szCs w:val="32"/>
        </w:rPr>
        <w:t>四、2024年推进法治政府建设的工作思路</w:t>
      </w:r>
    </w:p>
    <w:p>
      <w:pPr>
        <w:spacing w:line="560" w:lineRule="exact"/>
        <w:ind w:firstLine="643" w:firstLineChars="200"/>
        <w:rPr>
          <w:rFonts w:eastAsia="方正仿宋_GBK"/>
          <w:sz w:val="32"/>
          <w:szCs w:val="32"/>
        </w:rPr>
      </w:pPr>
      <w:r>
        <w:rPr>
          <w:rStyle w:val="22"/>
          <w:b/>
        </w:rPr>
        <w:t>（一）加强学习宣传教育，进一步提高依法行政水平。</w:t>
      </w:r>
      <w:r>
        <w:rPr>
          <w:rFonts w:eastAsia="方正仿宋_GBK"/>
          <w:sz w:val="32"/>
          <w:szCs w:val="32"/>
        </w:rPr>
        <w:t>加强对全局职工的职业道德教育和法律业务培训，强化为民理财观念，增强依法行政能力，鼓励职工参加各类法制培训、业务培训，打造一支“不为人情世故所干扰，不受个人私欲所困惑，不被利益群体所绑架”的财政干部队伍。</w:t>
      </w:r>
    </w:p>
    <w:p>
      <w:pPr>
        <w:spacing w:line="560" w:lineRule="exact"/>
        <w:ind w:firstLine="643" w:firstLineChars="200"/>
        <w:rPr>
          <w:rFonts w:eastAsia="方正仿宋_GBK"/>
          <w:sz w:val="32"/>
          <w:szCs w:val="32"/>
        </w:rPr>
      </w:pPr>
      <w:r>
        <w:rPr>
          <w:rStyle w:val="22"/>
          <w:b/>
        </w:rPr>
        <w:t>（二）加强财政制度建设，推进预算和绩效管理一体化</w:t>
      </w:r>
      <w:r>
        <w:rPr>
          <w:rStyle w:val="22"/>
          <w:rFonts w:hint="eastAsia"/>
          <w:b/>
        </w:rPr>
        <w:t>。</w:t>
      </w:r>
      <w:r>
        <w:rPr>
          <w:rFonts w:eastAsia="方正仿宋_GBK"/>
          <w:sz w:val="32"/>
          <w:szCs w:val="32"/>
        </w:rPr>
        <w:t>不断完善预算管理和绩效管理相关制度，健全工作措施，强化制度执行约束，以绩效目标的科学性提升预算编制的精准性，推出更多带动强、绩效优的好项目，以发展效益破解财政难题。</w:t>
      </w:r>
    </w:p>
    <w:p>
      <w:pPr>
        <w:spacing w:line="560" w:lineRule="exact"/>
        <w:ind w:firstLine="643" w:firstLineChars="200"/>
        <w:rPr>
          <w:rStyle w:val="22"/>
          <w:b/>
        </w:rPr>
      </w:pPr>
      <w:r>
        <w:rPr>
          <w:rStyle w:val="22"/>
          <w:b/>
        </w:rPr>
        <w:t>（三）加强财政业务管理，进一步提高依法理财水平。</w:t>
      </w:r>
    </w:p>
    <w:p>
      <w:pPr>
        <w:spacing w:line="560" w:lineRule="exact"/>
        <w:rPr>
          <w:rFonts w:eastAsia="方正仿宋_GBK"/>
          <w:sz w:val="32"/>
          <w:szCs w:val="32"/>
        </w:rPr>
      </w:pPr>
      <w:r>
        <w:rPr>
          <w:rFonts w:hint="eastAsia" w:eastAsia="方正仿宋_GBK"/>
          <w:sz w:val="32"/>
          <w:szCs w:val="32"/>
        </w:rPr>
        <w:t>加强预算编制管理，提高预算的精准度和有效性，严格预算执行，加强过程跟踪，坚持预算法定原则，坚持“先有预算后有支出”，</w:t>
      </w:r>
      <w:r>
        <w:rPr>
          <w:rFonts w:eastAsia="方正仿宋_GBK"/>
          <w:sz w:val="32"/>
          <w:szCs w:val="32"/>
        </w:rPr>
        <w:t>坚持“三保”支出在财政支出中的优先顺序，加强预算刚性约束，从紧从严管控支出，大力压减非刚性支出，增强重大决策部署保障能力</w:t>
      </w:r>
      <w:r>
        <w:rPr>
          <w:rFonts w:hint="eastAsia" w:eastAsia="方正仿宋_GBK"/>
          <w:sz w:val="32"/>
          <w:szCs w:val="32"/>
        </w:rPr>
        <w:t>。</w:t>
      </w:r>
      <w:r>
        <w:rPr>
          <w:rFonts w:eastAsia="方正仿宋_GBK"/>
          <w:sz w:val="32"/>
          <w:szCs w:val="32"/>
        </w:rPr>
        <w:t>优化监督模式与方式方法，加大财务检查力度，提升财会监督效能，实现监督和管理的有机统一。</w:t>
      </w: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420" w:firstLineChars="200"/>
      </w:pPr>
    </w:p>
    <w:p>
      <w:pPr>
        <w:pStyle w:val="16"/>
        <w:spacing w:line="560" w:lineRule="exact"/>
        <w:ind w:firstLine="640"/>
        <w:jc w:val="right"/>
      </w:pPr>
      <w:r>
        <w:t>酉阳土家族苗族自治县财政局</w:t>
      </w:r>
    </w:p>
    <w:p>
      <w:pPr>
        <w:pStyle w:val="16"/>
        <w:spacing w:line="560" w:lineRule="exact"/>
        <w:ind w:firstLine="640"/>
        <w:jc w:val="center"/>
      </w:pPr>
      <w:r>
        <w:rPr>
          <w:rFonts w:hint="eastAsia"/>
        </w:rPr>
        <w:t xml:space="preserve">                  </w:t>
      </w:r>
      <w:r>
        <w:t>2024年</w:t>
      </w:r>
      <w:r>
        <w:rPr>
          <w:rFonts w:hint="eastAsia"/>
        </w:rPr>
        <w:t>2</w:t>
      </w:r>
      <w:r>
        <w:t>月</w:t>
      </w:r>
      <w:r>
        <w:rPr>
          <w:rFonts w:hint="eastAsia"/>
        </w:rPr>
        <w:t>29</w:t>
      </w:r>
      <w:r>
        <w:t>日</w:t>
      </w:r>
    </w:p>
    <w:p>
      <w:pPr>
        <w:spacing w:line="600" w:lineRule="exact"/>
        <w:ind w:firstLine="420" w:firstLineChars="200"/>
      </w:pPr>
    </w:p>
    <w:p>
      <w:pPr>
        <w:spacing w:line="600" w:lineRule="exact"/>
        <w:ind w:firstLine="640" w:firstLineChars="200"/>
        <w:rPr>
          <w:rStyle w:val="24"/>
          <w:rFonts w:eastAsia="方正仿宋_GBK"/>
          <w:sz w:val="32"/>
          <w:szCs w:val="32"/>
        </w:rPr>
      </w:pPr>
    </w:p>
    <w:p>
      <w:pPr>
        <w:spacing w:line="600" w:lineRule="exact"/>
        <w:ind w:firstLine="640" w:firstLineChars="200"/>
        <w:rPr>
          <w:rStyle w:val="24"/>
          <w:rFonts w:eastAsia="方正仿宋_GBK"/>
          <w:sz w:val="32"/>
          <w:szCs w:val="32"/>
        </w:rPr>
      </w:pPr>
    </w:p>
    <w:p>
      <w:pPr>
        <w:spacing w:line="600" w:lineRule="exact"/>
        <w:ind w:firstLine="640" w:firstLineChars="200"/>
        <w:rPr>
          <w:rStyle w:val="24"/>
          <w:rFonts w:eastAsia="方正仿宋_GBK"/>
          <w:sz w:val="32"/>
          <w:szCs w:val="32"/>
        </w:rPr>
      </w:pPr>
    </w:p>
    <w:p>
      <w:pPr>
        <w:spacing w:line="600" w:lineRule="exact"/>
        <w:rPr>
          <w:rStyle w:val="24"/>
          <w:rFonts w:hint="eastAsia" w:eastAsia="方正仿宋_GBK"/>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p>
    <w:pPr>
      <w:pStyle w:val="5"/>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6B4C"/>
    <w:rsid w:val="00002688"/>
    <w:rsid w:val="000131A5"/>
    <w:rsid w:val="00070027"/>
    <w:rsid w:val="000703D2"/>
    <w:rsid w:val="00093EEF"/>
    <w:rsid w:val="00097529"/>
    <w:rsid w:val="000B2AFD"/>
    <w:rsid w:val="000B5A3A"/>
    <w:rsid w:val="000C07BB"/>
    <w:rsid w:val="00114FF9"/>
    <w:rsid w:val="0012199E"/>
    <w:rsid w:val="00122481"/>
    <w:rsid w:val="00140680"/>
    <w:rsid w:val="00145DA9"/>
    <w:rsid w:val="0015343A"/>
    <w:rsid w:val="00175467"/>
    <w:rsid w:val="00192B55"/>
    <w:rsid w:val="00197427"/>
    <w:rsid w:val="001A5B5A"/>
    <w:rsid w:val="00201681"/>
    <w:rsid w:val="00234E72"/>
    <w:rsid w:val="00251F55"/>
    <w:rsid w:val="0027305A"/>
    <w:rsid w:val="002C3D51"/>
    <w:rsid w:val="002C78D3"/>
    <w:rsid w:val="002E1C34"/>
    <w:rsid w:val="002F5181"/>
    <w:rsid w:val="00320FE3"/>
    <w:rsid w:val="0033722E"/>
    <w:rsid w:val="00352C97"/>
    <w:rsid w:val="0038162B"/>
    <w:rsid w:val="00381A76"/>
    <w:rsid w:val="003931BB"/>
    <w:rsid w:val="003A6666"/>
    <w:rsid w:val="003D2666"/>
    <w:rsid w:val="003E050C"/>
    <w:rsid w:val="003E1476"/>
    <w:rsid w:val="003E50D9"/>
    <w:rsid w:val="003F52F3"/>
    <w:rsid w:val="00400B78"/>
    <w:rsid w:val="004150CD"/>
    <w:rsid w:val="00432538"/>
    <w:rsid w:val="00456EFF"/>
    <w:rsid w:val="0047640B"/>
    <w:rsid w:val="004A578A"/>
    <w:rsid w:val="004B0B5D"/>
    <w:rsid w:val="004F3505"/>
    <w:rsid w:val="005255DD"/>
    <w:rsid w:val="00533951"/>
    <w:rsid w:val="00536CBB"/>
    <w:rsid w:val="0054142B"/>
    <w:rsid w:val="0054580B"/>
    <w:rsid w:val="0056246F"/>
    <w:rsid w:val="005628A2"/>
    <w:rsid w:val="005758D4"/>
    <w:rsid w:val="00582BD3"/>
    <w:rsid w:val="0058452F"/>
    <w:rsid w:val="00586365"/>
    <w:rsid w:val="00596B4C"/>
    <w:rsid w:val="005A136B"/>
    <w:rsid w:val="005D6DEE"/>
    <w:rsid w:val="005E5ABA"/>
    <w:rsid w:val="005F3275"/>
    <w:rsid w:val="00604460"/>
    <w:rsid w:val="00653D9B"/>
    <w:rsid w:val="00657286"/>
    <w:rsid w:val="00660759"/>
    <w:rsid w:val="0068758C"/>
    <w:rsid w:val="0069586D"/>
    <w:rsid w:val="00697DA6"/>
    <w:rsid w:val="006B48BA"/>
    <w:rsid w:val="006C2C69"/>
    <w:rsid w:val="006D6472"/>
    <w:rsid w:val="00701658"/>
    <w:rsid w:val="00704BD9"/>
    <w:rsid w:val="00711165"/>
    <w:rsid w:val="00717426"/>
    <w:rsid w:val="00723728"/>
    <w:rsid w:val="0077094C"/>
    <w:rsid w:val="00786235"/>
    <w:rsid w:val="007B3E0A"/>
    <w:rsid w:val="007C6DDE"/>
    <w:rsid w:val="007E7E88"/>
    <w:rsid w:val="00801AF0"/>
    <w:rsid w:val="00823196"/>
    <w:rsid w:val="008233AB"/>
    <w:rsid w:val="008515AD"/>
    <w:rsid w:val="00865019"/>
    <w:rsid w:val="00896B75"/>
    <w:rsid w:val="008A39A2"/>
    <w:rsid w:val="008A4B03"/>
    <w:rsid w:val="008A7EED"/>
    <w:rsid w:val="008B2290"/>
    <w:rsid w:val="00902861"/>
    <w:rsid w:val="0091553F"/>
    <w:rsid w:val="009301C7"/>
    <w:rsid w:val="0095264E"/>
    <w:rsid w:val="009637AD"/>
    <w:rsid w:val="00972B00"/>
    <w:rsid w:val="009972CB"/>
    <w:rsid w:val="00997445"/>
    <w:rsid w:val="009B29FF"/>
    <w:rsid w:val="009B5724"/>
    <w:rsid w:val="009B7233"/>
    <w:rsid w:val="009B7DD2"/>
    <w:rsid w:val="009D6C0A"/>
    <w:rsid w:val="00A25094"/>
    <w:rsid w:val="00A36F6C"/>
    <w:rsid w:val="00A45E29"/>
    <w:rsid w:val="00A64373"/>
    <w:rsid w:val="00A727F3"/>
    <w:rsid w:val="00A828D2"/>
    <w:rsid w:val="00A82DA8"/>
    <w:rsid w:val="00A836F2"/>
    <w:rsid w:val="00A944D6"/>
    <w:rsid w:val="00AA392C"/>
    <w:rsid w:val="00AC1D44"/>
    <w:rsid w:val="00AF131F"/>
    <w:rsid w:val="00B122E4"/>
    <w:rsid w:val="00B732DD"/>
    <w:rsid w:val="00B74E43"/>
    <w:rsid w:val="00B915CE"/>
    <w:rsid w:val="00BB7941"/>
    <w:rsid w:val="00BC2B05"/>
    <w:rsid w:val="00BD41D5"/>
    <w:rsid w:val="00BD72E0"/>
    <w:rsid w:val="00BF0B99"/>
    <w:rsid w:val="00C339DB"/>
    <w:rsid w:val="00C401AE"/>
    <w:rsid w:val="00C412F0"/>
    <w:rsid w:val="00C43AF8"/>
    <w:rsid w:val="00C4723A"/>
    <w:rsid w:val="00C60640"/>
    <w:rsid w:val="00CA1933"/>
    <w:rsid w:val="00CB790D"/>
    <w:rsid w:val="00CE1162"/>
    <w:rsid w:val="00CE2A5E"/>
    <w:rsid w:val="00D06357"/>
    <w:rsid w:val="00D260A6"/>
    <w:rsid w:val="00D43933"/>
    <w:rsid w:val="00D54546"/>
    <w:rsid w:val="00D64536"/>
    <w:rsid w:val="00D67BBC"/>
    <w:rsid w:val="00DB2CC2"/>
    <w:rsid w:val="00DD2C37"/>
    <w:rsid w:val="00DD666F"/>
    <w:rsid w:val="00E30D5F"/>
    <w:rsid w:val="00E35A53"/>
    <w:rsid w:val="00E537E9"/>
    <w:rsid w:val="00E55C54"/>
    <w:rsid w:val="00E62F2A"/>
    <w:rsid w:val="00E72EA7"/>
    <w:rsid w:val="00EA12D5"/>
    <w:rsid w:val="00EA4755"/>
    <w:rsid w:val="00EB3D59"/>
    <w:rsid w:val="00EB6BF9"/>
    <w:rsid w:val="00EC25EA"/>
    <w:rsid w:val="00EC5F3E"/>
    <w:rsid w:val="00F07435"/>
    <w:rsid w:val="00F23B3C"/>
    <w:rsid w:val="00F23FF0"/>
    <w:rsid w:val="00F63A31"/>
    <w:rsid w:val="00F9491A"/>
    <w:rsid w:val="00FB2209"/>
    <w:rsid w:val="00FB5413"/>
    <w:rsid w:val="00FF1D60"/>
    <w:rsid w:val="0A8E1D6B"/>
    <w:rsid w:val="1E945F84"/>
    <w:rsid w:val="3AA23E8E"/>
    <w:rsid w:val="4AE57F10"/>
    <w:rsid w:val="4E690EAD"/>
    <w:rsid w:val="5B0C3147"/>
    <w:rsid w:val="62062702"/>
    <w:rsid w:val="78917271"/>
    <w:rsid w:val="7B60757A"/>
    <w:rsid w:val="7DF15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rPr>
      <w:rFonts w:ascii="Calibri" w:hAnsi="Calibri"/>
      <w:szCs w:val="24"/>
    </w:rPr>
  </w:style>
  <w:style w:type="paragraph" w:styleId="3">
    <w:name w:val="Body Text"/>
    <w:basedOn w:val="1"/>
    <w:link w:val="23"/>
    <w:semiHidden/>
    <w:unhideWhenUsed/>
    <w:qFormat/>
    <w:uiPriority w:val="99"/>
    <w:pPr>
      <w:spacing w:after="120"/>
    </w:pPr>
  </w:style>
  <w:style w:type="paragraph" w:styleId="4">
    <w:name w:val="Plain Text"/>
    <w:basedOn w:val="1"/>
    <w:link w:val="12"/>
    <w:qFormat/>
    <w:uiPriority w:val="0"/>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basedOn w:val="9"/>
    <w:link w:val="4"/>
    <w:qFormat/>
    <w:uiPriority w:val="0"/>
    <w:rPr>
      <w:rFonts w:ascii="宋体" w:hAnsi="Courier New" w:eastAsia="宋体" w:cs="Courier New"/>
      <w:szCs w:val="21"/>
    </w:rPr>
  </w:style>
  <w:style w:type="paragraph" w:customStyle="1" w:styleId="13">
    <w:name w:val="一级标题"/>
    <w:basedOn w:val="1"/>
    <w:link w:val="14"/>
    <w:qFormat/>
    <w:uiPriority w:val="0"/>
    <w:pPr>
      <w:spacing w:line="600" w:lineRule="exact"/>
      <w:ind w:firstLine="200" w:firstLineChars="200"/>
      <w:jc w:val="left"/>
    </w:pPr>
    <w:rPr>
      <w:rFonts w:eastAsia="方正黑体_GBK"/>
      <w:sz w:val="32"/>
      <w:szCs w:val="32"/>
    </w:rPr>
  </w:style>
  <w:style w:type="character" w:customStyle="1" w:styleId="14">
    <w:name w:val="一级标题 Char"/>
    <w:basedOn w:val="9"/>
    <w:link w:val="13"/>
    <w:qFormat/>
    <w:uiPriority w:val="0"/>
    <w:rPr>
      <w:rFonts w:ascii="Times New Roman" w:hAnsi="Times New Roman" w:eastAsia="方正黑体_GBK" w:cs="Times New Roman"/>
      <w:sz w:val="32"/>
      <w:szCs w:val="32"/>
    </w:rPr>
  </w:style>
  <w:style w:type="paragraph" w:customStyle="1" w:styleId="15">
    <w:name w:val="函（文）头"/>
    <w:basedOn w:val="16"/>
    <w:link w:val="17"/>
    <w:qFormat/>
    <w:uiPriority w:val="0"/>
    <w:pPr>
      <w:ind w:firstLine="0" w:firstLineChars="0"/>
      <w:jc w:val="center"/>
    </w:pPr>
  </w:style>
  <w:style w:type="paragraph" w:customStyle="1" w:styleId="16">
    <w:name w:val="公文-正文格式"/>
    <w:basedOn w:val="1"/>
    <w:link w:val="18"/>
    <w:qFormat/>
    <w:uiPriority w:val="0"/>
    <w:pPr>
      <w:spacing w:line="600" w:lineRule="exact"/>
      <w:ind w:firstLine="200" w:firstLineChars="200"/>
    </w:pPr>
    <w:rPr>
      <w:rFonts w:eastAsia="方正仿宋_GBK"/>
      <w:sz w:val="32"/>
      <w:szCs w:val="32"/>
    </w:rPr>
  </w:style>
  <w:style w:type="character" w:customStyle="1" w:styleId="17">
    <w:name w:val="函（文）头 Char"/>
    <w:basedOn w:val="18"/>
    <w:link w:val="15"/>
    <w:qFormat/>
    <w:uiPriority w:val="0"/>
    <w:rPr>
      <w:rFonts w:ascii="Times New Roman" w:hAnsi="Times New Roman" w:cs="Times New Roman"/>
    </w:rPr>
  </w:style>
  <w:style w:type="character" w:customStyle="1" w:styleId="18">
    <w:name w:val="公文-正文格式 Char"/>
    <w:basedOn w:val="9"/>
    <w:link w:val="16"/>
    <w:qFormat/>
    <w:uiPriority w:val="0"/>
    <w:rPr>
      <w:rFonts w:ascii="Times New Roman" w:hAnsi="Times New Roman" w:eastAsia="方正仿宋_GBK" w:cs="Times New Roman"/>
      <w:sz w:val="32"/>
      <w:szCs w:val="32"/>
    </w:rPr>
  </w:style>
  <w:style w:type="paragraph" w:customStyle="1" w:styleId="19">
    <w:name w:val="公文-标题"/>
    <w:basedOn w:val="1"/>
    <w:link w:val="20"/>
    <w:qFormat/>
    <w:uiPriority w:val="0"/>
    <w:pPr>
      <w:spacing w:line="600" w:lineRule="exact"/>
      <w:jc w:val="center"/>
    </w:pPr>
    <w:rPr>
      <w:rFonts w:eastAsia="方正小标宋简体"/>
      <w:b/>
      <w:sz w:val="44"/>
      <w:szCs w:val="44"/>
    </w:rPr>
  </w:style>
  <w:style w:type="character" w:customStyle="1" w:styleId="20">
    <w:name w:val="公文-标题 Char"/>
    <w:basedOn w:val="9"/>
    <w:link w:val="19"/>
    <w:qFormat/>
    <w:uiPriority w:val="0"/>
    <w:rPr>
      <w:rFonts w:ascii="Times New Roman" w:hAnsi="Times New Roman" w:eastAsia="方正小标宋简体" w:cs="Times New Roman"/>
      <w:b/>
      <w:sz w:val="44"/>
      <w:szCs w:val="44"/>
    </w:rPr>
  </w:style>
  <w:style w:type="paragraph" w:customStyle="1" w:styleId="21">
    <w:name w:val="二级标题"/>
    <w:basedOn w:val="16"/>
    <w:link w:val="22"/>
    <w:qFormat/>
    <w:uiPriority w:val="0"/>
    <w:pPr>
      <w:jc w:val="left"/>
    </w:pPr>
    <w:rPr>
      <w:rFonts w:eastAsia="方正楷体_GBK"/>
    </w:rPr>
  </w:style>
  <w:style w:type="character" w:customStyle="1" w:styleId="22">
    <w:name w:val="二级标题 Char"/>
    <w:basedOn w:val="18"/>
    <w:link w:val="21"/>
    <w:qFormat/>
    <w:uiPriority w:val="0"/>
    <w:rPr>
      <w:rFonts w:eastAsia="方正楷体_GBK"/>
    </w:rPr>
  </w:style>
  <w:style w:type="character" w:customStyle="1" w:styleId="23">
    <w:name w:val="正文文本 Char"/>
    <w:basedOn w:val="9"/>
    <w:link w:val="3"/>
    <w:semiHidden/>
    <w:qFormat/>
    <w:uiPriority w:val="99"/>
    <w:rPr>
      <w:rFonts w:ascii="Times New Roman" w:hAnsi="Times New Roman" w:eastAsia="宋体" w:cs="Times New Roman"/>
    </w:rPr>
  </w:style>
  <w:style w:type="character" w:customStyle="1" w:styleId="24">
    <w:name w:val="apple-style-span"/>
    <w:basedOn w:val="9"/>
    <w:qFormat/>
    <w:uiPriority w:val="0"/>
  </w:style>
  <w:style w:type="paragraph" w:customStyle="1" w:styleId="25">
    <w:name w:val="Acetate"/>
    <w:basedOn w:val="1"/>
    <w:qFormat/>
    <w:uiPriority w:val="0"/>
    <w:rPr>
      <w:rFonts w:ascii="Calibri" w:hAnsi="Calibri"/>
      <w:sz w:val="18"/>
      <w:szCs w:val="18"/>
    </w:rPr>
  </w:style>
  <w:style w:type="paragraph" w:styleId="26">
    <w:name w:val="List Paragraph"/>
    <w:basedOn w:val="1"/>
    <w:qFormat/>
    <w:uiPriority w:val="0"/>
    <w:pPr>
      <w:ind w:firstLine="420" w:firstLineChars="200"/>
    </w:pPr>
    <w:rPr>
      <w:rFonts w:ascii="Calibri" w:hAnsi="Calibri" w:cs="Calibri"/>
      <w:szCs w:val="21"/>
    </w:rPr>
  </w:style>
  <w:style w:type="character" w:customStyle="1" w:styleId="27">
    <w:name w:val="text_zw1"/>
    <w:basedOn w:val="9"/>
    <w:qFormat/>
    <w:uiPriority w:val="0"/>
    <w:rPr>
      <w:color w:val="000000"/>
      <w:sz w:val="20"/>
      <w:szCs w:val="20"/>
    </w:rPr>
  </w:style>
  <w:style w:type="character" w:customStyle="1" w:styleId="28">
    <w:name w:val="18"/>
    <w:basedOn w:val="9"/>
    <w:qFormat/>
    <w:uiPriority w:val="0"/>
    <w:rPr>
      <w:rFonts w:hint="eastAsia" w:ascii="方正楷体_GBK" w:hAnsi="方正楷体_GBK" w:eastAsia="方正楷体_GBK" w:cs="方正楷体_GBK"/>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3AC1-A37F-4A08-B913-B5D87904D3B5}">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5</Pages>
  <Words>412</Words>
  <Characters>2355</Characters>
  <Lines>19</Lines>
  <Paragraphs>5</Paragraphs>
  <TotalTime>1</TotalTime>
  <ScaleCrop>false</ScaleCrop>
  <LinksUpToDate>false</LinksUpToDate>
  <CharactersWithSpaces>2762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2024-01-14T04:18:00Z</dcterms:created>
  <dc:creator>Micorosoft</dc:creator>
  <cp:lastModifiedBy> </cp:lastModifiedBy>
  <dcterms:modified xsi:type="dcterms:W3CDTF">2025-10-28T02:04:13Z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EC309AFA0B53413C86C249C7DE7F1F33</vt:lpwstr>
  </property>
</Properties>
</file>